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BA35F" w14:textId="03D430F1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C75B53" w:rsidRPr="00C75B53">
        <w:rPr>
          <w:rFonts w:ascii="Arial" w:eastAsia="SimSun" w:hAnsi="Arial" w:cs="Times New Roman"/>
          <w:b/>
          <w:bCs/>
          <w:sz w:val="24"/>
          <w:szCs w:val="20"/>
        </w:rPr>
        <w:t>R4-2301357</w:t>
      </w:r>
    </w:p>
    <w:p w14:paraId="68A73D04" w14:textId="77777777" w:rsidR="00841BCD" w:rsidRPr="00EF698B" w:rsidRDefault="0052157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Greece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February 27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March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3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72DCAF0F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734CA7D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5F48D096" w14:textId="2311C68E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1E14ED">
        <w:rPr>
          <w:rFonts w:ascii="Arial" w:eastAsia="Calibri" w:hAnsi="Arial" w:cs="Arial"/>
          <w:b/>
          <w:bCs/>
          <w:sz w:val="24"/>
        </w:rPr>
        <w:t>Mobile IAB</w:t>
      </w:r>
      <w:r w:rsidR="00E64A4C">
        <w:rPr>
          <w:rFonts w:ascii="Arial" w:eastAsia="Calibri" w:hAnsi="Arial" w:cs="Arial"/>
          <w:b/>
          <w:bCs/>
          <w:sz w:val="24"/>
        </w:rPr>
        <w:t xml:space="preserve"> RRM considerations</w:t>
      </w:r>
    </w:p>
    <w:p w14:paraId="0776E6A8" w14:textId="7F0FFE43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DE18D5" w:rsidRPr="00DE18D5">
        <w:rPr>
          <w:rFonts w:ascii="Arial" w:eastAsia="MS Mincho" w:hAnsi="Arial" w:cs="Arial"/>
          <w:b/>
          <w:bCs/>
          <w:sz w:val="24"/>
          <w:szCs w:val="20"/>
        </w:rPr>
        <w:t>9.32.4 RRM core requirements</w:t>
      </w:r>
    </w:p>
    <w:p w14:paraId="777B7E8A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57B26739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22ECF8B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6A5F0F41" w14:textId="5BD92A12" w:rsidR="00E635CE" w:rsidRDefault="00E635CE" w:rsidP="00E635CE">
      <w:pPr>
        <w:rPr>
          <w:rFonts w:eastAsia="Times New Roman" w:cs="Times New Roman"/>
        </w:rPr>
      </w:pPr>
    </w:p>
    <w:p w14:paraId="0893F3D1" w14:textId="77777777" w:rsidR="00E635CE" w:rsidRDefault="00E635CE" w:rsidP="00E635CE">
      <w:r>
        <w:t>The justification of the WID stated following, [1]:</w:t>
      </w:r>
    </w:p>
    <w:p w14:paraId="2EFD456F" w14:textId="77777777" w:rsidR="00E635CE" w:rsidRPr="003B391E" w:rsidRDefault="00E635CE" w:rsidP="00E635CE">
      <w:pPr>
        <w:pStyle w:val="maintext"/>
        <w:spacing w:before="0" w:after="20" w:line="240" w:lineRule="auto"/>
        <w:ind w:left="720" w:firstLineChars="0" w:firstLine="0"/>
        <w:rPr>
          <w:rFonts w:eastAsia="Times New Roman" w:cs="Times New Roman"/>
          <w:i/>
          <w:iCs/>
          <w:lang w:eastAsia="en-US"/>
        </w:rPr>
      </w:pPr>
      <w:r w:rsidRPr="003B391E">
        <w:rPr>
          <w:rFonts w:eastAsia="Times New Roman" w:cs="Times New Roman"/>
          <w:i/>
          <w:iCs/>
          <w:lang w:eastAsia="en-US"/>
        </w:rPr>
        <w:t xml:space="preserve">The work on Mobile IAB in Rel-18 should focus on the scenario of </w:t>
      </w:r>
      <w:r w:rsidRPr="00E635CE">
        <w:rPr>
          <w:rFonts w:eastAsia="Times New Roman" w:cs="Times New Roman"/>
          <w:i/>
          <w:iCs/>
          <w:lang w:eastAsia="en-US"/>
        </w:rPr>
        <w:t>mobile-IAB-nodes mounted on vehicles providing 5G coverage/capacity enhancement to onboard and/or surrounding UEs</w:t>
      </w:r>
      <w:r w:rsidRPr="003B391E">
        <w:rPr>
          <w:rFonts w:eastAsia="Times New Roman" w:cs="Times New Roman"/>
          <w:i/>
          <w:iCs/>
          <w:lang w:eastAsia="en-US"/>
        </w:rPr>
        <w:t xml:space="preserve">. </w:t>
      </w:r>
    </w:p>
    <w:p w14:paraId="455D891E" w14:textId="77777777" w:rsidR="00E635CE" w:rsidRPr="003B391E" w:rsidRDefault="00E635CE" w:rsidP="00E635CE">
      <w:pPr>
        <w:pStyle w:val="maintext"/>
        <w:spacing w:before="0" w:after="20" w:line="240" w:lineRule="auto"/>
        <w:ind w:left="720" w:firstLineChars="0" w:firstLine="0"/>
        <w:rPr>
          <w:rFonts w:eastAsia="Times New Roman" w:cs="Times New Roman"/>
          <w:i/>
          <w:iCs/>
          <w:lang w:eastAsia="en-US"/>
        </w:rPr>
      </w:pPr>
      <w:r w:rsidRPr="003B391E">
        <w:rPr>
          <w:rFonts w:eastAsia="Times New Roman" w:cs="Times New Roman"/>
          <w:i/>
          <w:iCs/>
          <w:lang w:eastAsia="en-US"/>
        </w:rPr>
        <w:t xml:space="preserve">In Rel-18, mobile IAB supports the following functionality, applicable to </w:t>
      </w:r>
      <w:r w:rsidRPr="00E635CE">
        <w:rPr>
          <w:rFonts w:eastAsia="Times New Roman" w:cs="Times New Roman"/>
          <w:i/>
          <w:iCs/>
          <w:lang w:eastAsia="en-US"/>
        </w:rPr>
        <w:t>FR1 and FR2</w:t>
      </w:r>
      <w:r w:rsidRPr="003B391E">
        <w:rPr>
          <w:rFonts w:eastAsia="Times New Roman" w:cs="Times New Roman"/>
          <w:i/>
          <w:iCs/>
          <w:lang w:eastAsia="en-US"/>
        </w:rPr>
        <w:t>:</w:t>
      </w:r>
    </w:p>
    <w:p w14:paraId="30621CEA" w14:textId="77777777" w:rsidR="00E635CE" w:rsidRPr="003B391E" w:rsidRDefault="00E635CE" w:rsidP="00E635CE">
      <w:pPr>
        <w:pStyle w:val="maintext"/>
        <w:numPr>
          <w:ilvl w:val="0"/>
          <w:numId w:val="28"/>
        </w:numPr>
        <w:spacing w:before="0" w:after="20" w:line="240" w:lineRule="auto"/>
        <w:ind w:left="1440" w:firstLineChars="0"/>
        <w:rPr>
          <w:rFonts w:eastAsia="Times New Roman" w:cs="Times New Roman"/>
          <w:i/>
          <w:iCs/>
          <w:lang w:eastAsia="en-US"/>
        </w:rPr>
      </w:pPr>
      <w:r w:rsidRPr="00E635CE">
        <w:rPr>
          <w:rFonts w:eastAsia="Times New Roman" w:cs="Times New Roman"/>
          <w:i/>
          <w:iCs/>
          <w:lang w:eastAsia="en-US"/>
        </w:rPr>
        <w:t>In-band and out-of-band backhauling</w:t>
      </w:r>
      <w:r w:rsidRPr="003B391E">
        <w:rPr>
          <w:rFonts w:eastAsia="Times New Roman" w:cs="Times New Roman"/>
          <w:i/>
          <w:iCs/>
          <w:lang w:eastAsia="en-US"/>
        </w:rPr>
        <w:t>.</w:t>
      </w:r>
    </w:p>
    <w:p w14:paraId="3EFC0EC1" w14:textId="77777777" w:rsidR="00E635CE" w:rsidRDefault="00E635CE" w:rsidP="00E635CE">
      <w:pPr>
        <w:pStyle w:val="maintext"/>
        <w:numPr>
          <w:ilvl w:val="0"/>
          <w:numId w:val="28"/>
        </w:numPr>
        <w:spacing w:before="0" w:after="20" w:line="240" w:lineRule="auto"/>
        <w:ind w:left="1434" w:firstLineChars="0" w:hanging="357"/>
        <w:rPr>
          <w:rFonts w:eastAsia="Times New Roman" w:cs="Times New Roman"/>
          <w:i/>
          <w:iCs/>
          <w:lang w:eastAsia="en-US"/>
        </w:rPr>
      </w:pPr>
      <w:r w:rsidRPr="003B391E">
        <w:rPr>
          <w:rFonts w:eastAsia="Times New Roman" w:cs="Times New Roman"/>
          <w:i/>
          <w:iCs/>
          <w:lang w:eastAsia="en-US"/>
        </w:rPr>
        <w:t>The mobile IAB-node should have no descendent IAB-nodes, i.e., it serves only UEs.</w:t>
      </w:r>
    </w:p>
    <w:p w14:paraId="66CEE278" w14:textId="77777777" w:rsidR="00E635CE" w:rsidRPr="003B391E" w:rsidRDefault="00E635CE" w:rsidP="00E635CE">
      <w:pPr>
        <w:pStyle w:val="maintext"/>
        <w:numPr>
          <w:ilvl w:val="0"/>
          <w:numId w:val="28"/>
        </w:numPr>
        <w:spacing w:before="0" w:after="240" w:line="240" w:lineRule="auto"/>
        <w:ind w:left="1434" w:firstLineChars="0" w:hanging="357"/>
        <w:rPr>
          <w:rFonts w:eastAsia="Times New Roman" w:cs="Times New Roman"/>
          <w:i/>
          <w:iCs/>
          <w:lang w:eastAsia="en-US"/>
        </w:rPr>
      </w:pPr>
      <w:r w:rsidRPr="003B391E">
        <w:rPr>
          <w:rFonts w:eastAsia="Times New Roman" w:cs="Times New Roman"/>
          <w:i/>
          <w:iCs/>
          <w:lang w:eastAsia="en-US"/>
        </w:rPr>
        <w:t>Solutions should support UE HO and UE DC</w:t>
      </w:r>
    </w:p>
    <w:p w14:paraId="07A111EF" w14:textId="7EC86F34" w:rsidR="00E635CE" w:rsidRDefault="00E635CE" w:rsidP="00E635CE">
      <w:pPr>
        <w:rPr>
          <w:rFonts w:eastAsia="Times New Roman" w:cs="Times New Roman"/>
        </w:rPr>
      </w:pPr>
      <w:r>
        <w:rPr>
          <w:rFonts w:eastAsia="Times New Roman" w:cs="Times New Roman"/>
        </w:rPr>
        <w:t>The WI objectives specific for RAN4 were defined as follows:</w:t>
      </w:r>
    </w:p>
    <w:p w14:paraId="4939B618" w14:textId="77777777" w:rsidR="00E635CE" w:rsidRPr="00B85140" w:rsidRDefault="00E635CE" w:rsidP="00E635CE">
      <w:pPr>
        <w:pStyle w:val="maintext"/>
        <w:spacing w:line="240" w:lineRule="auto"/>
        <w:ind w:left="720" w:firstLineChars="0" w:firstLine="0"/>
        <w:jc w:val="left"/>
        <w:rPr>
          <w:rFonts w:eastAsia="Times New Roman" w:cs="Times New Roman"/>
          <w:i/>
          <w:iCs/>
          <w:lang w:eastAsia="en-US"/>
        </w:rPr>
      </w:pPr>
      <w:r w:rsidRPr="00B85140">
        <w:rPr>
          <w:rFonts w:eastAsia="Times New Roman" w:cs="Times New Roman"/>
          <w:i/>
          <w:iCs/>
          <w:lang w:eastAsia="en-US"/>
        </w:rPr>
        <w:t>RAN4 is expected to study impact on RF and RRM requirements:</w:t>
      </w:r>
    </w:p>
    <w:p w14:paraId="460BA05E" w14:textId="77777777" w:rsidR="00E635CE" w:rsidRPr="00B85140" w:rsidRDefault="00E635CE" w:rsidP="00E635CE">
      <w:pPr>
        <w:pStyle w:val="maintext"/>
        <w:numPr>
          <w:ilvl w:val="0"/>
          <w:numId w:val="27"/>
        </w:numPr>
        <w:spacing w:before="0" w:after="0" w:line="240" w:lineRule="auto"/>
        <w:ind w:left="1434" w:firstLineChars="0" w:hanging="357"/>
        <w:jc w:val="left"/>
        <w:rPr>
          <w:rFonts w:eastAsia="Times New Roman" w:cs="Times New Roman"/>
          <w:i/>
          <w:iCs/>
          <w:lang w:eastAsia="en-US"/>
        </w:rPr>
      </w:pPr>
      <w:r w:rsidRPr="00B85140">
        <w:rPr>
          <w:rFonts w:eastAsia="Times New Roman" w:cs="Times New Roman"/>
          <w:i/>
          <w:iCs/>
          <w:lang w:eastAsia="en-US"/>
        </w:rPr>
        <w:t xml:space="preserve">Conduct co-existence study to assess the impact of moving cells. Based on the study outcome, specify RF and RRM requirements and mechanisms for the mobile IAB-node to enable co-existence, if needed. </w:t>
      </w:r>
    </w:p>
    <w:p w14:paraId="47141455" w14:textId="77777777" w:rsidR="00E635CE" w:rsidRPr="00B85140" w:rsidRDefault="00E635CE" w:rsidP="00E635CE">
      <w:pPr>
        <w:pStyle w:val="maintext"/>
        <w:numPr>
          <w:ilvl w:val="0"/>
          <w:numId w:val="27"/>
        </w:numPr>
        <w:spacing w:before="0" w:after="240" w:line="240" w:lineRule="auto"/>
        <w:ind w:left="1434" w:firstLineChars="0" w:hanging="357"/>
        <w:jc w:val="left"/>
        <w:rPr>
          <w:rFonts w:eastAsia="Times New Roman" w:cs="Times New Roman"/>
          <w:i/>
          <w:iCs/>
          <w:lang w:eastAsia="en-US"/>
        </w:rPr>
      </w:pPr>
      <w:r w:rsidRPr="00B85140">
        <w:rPr>
          <w:rFonts w:eastAsia="Times New Roman" w:cs="Times New Roman"/>
          <w:i/>
          <w:iCs/>
          <w:lang w:eastAsia="en-US"/>
        </w:rPr>
        <w:t>Specify RRM requirements for the mobile IAB-node to enable IAB-node mobility, if needed.</w:t>
      </w:r>
    </w:p>
    <w:p w14:paraId="43A66913" w14:textId="651E7720" w:rsidR="0060543D" w:rsidRDefault="00E635CE" w:rsidP="00E635CE">
      <w:r>
        <w:t>In this contribution we discuss potential RRM implications related to mobile IAB scenarios.</w:t>
      </w:r>
    </w:p>
    <w:p w14:paraId="6219E7C6" w14:textId="77777777" w:rsidR="0060543D" w:rsidRPr="00EF698B" w:rsidRDefault="0060543D" w:rsidP="005C23A4"/>
    <w:p w14:paraId="6C9FEDB3" w14:textId="1EC4239B" w:rsidR="0060543D" w:rsidRDefault="003B659E" w:rsidP="003F70A6">
      <w:pPr>
        <w:pStyle w:val="RAN4H1"/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4E6EEBC8" w14:textId="491EA9D1" w:rsidR="00CB22B2" w:rsidRDefault="00E635CE" w:rsidP="00496606">
      <w:pPr>
        <w:pStyle w:val="RAN4H2"/>
      </w:pPr>
      <w:r>
        <w:t>Mobility</w:t>
      </w:r>
      <w:r w:rsidR="008B7246">
        <w:t>-related RRM</w:t>
      </w:r>
      <w:r w:rsidR="001B55FE">
        <w:t xml:space="preserve"> requirements</w:t>
      </w:r>
    </w:p>
    <w:p w14:paraId="767B8215" w14:textId="51466BBD" w:rsidR="00E635CE" w:rsidRDefault="00550097" w:rsidP="005C23A4">
      <w:r>
        <w:t>Deployment options for the mobile IAB were discussed in [2]. Mobile IAB-nodes are assumed to be mounted in a</w:t>
      </w:r>
      <w:r w:rsidR="00555391">
        <w:t xml:space="preserve"> mobile</w:t>
      </w:r>
      <w:r>
        <w:t xml:space="preserve"> vehicle</w:t>
      </w:r>
      <w:r w:rsidR="00555391">
        <w:t>, such as</w:t>
      </w:r>
      <w:r>
        <w:t xml:space="preserve"> train, tram, bus, or the like. The movement of the vehicle can be deterministic (e.g.</w:t>
      </w:r>
      <w:r w:rsidR="009957DC">
        <w:rPr>
          <w:lang w:val="en-150"/>
        </w:rPr>
        <w:t>,</w:t>
      </w:r>
      <w:r>
        <w:t xml:space="preserve"> railways), but it can be also basically random. With </w:t>
      </w:r>
      <w:r w:rsidR="00B759F1">
        <w:t xml:space="preserve">deterministic </w:t>
      </w:r>
      <w:r>
        <w:t>trajectories of the vehicle</w:t>
      </w:r>
      <w:r w:rsidR="00B93EAE">
        <w:t xml:space="preserve"> the</w:t>
      </w:r>
      <w:r>
        <w:t xml:space="preserve"> measurements could be focused on the cell anticipated for the following IAB-MT HO</w:t>
      </w:r>
      <w:r w:rsidR="00E54903">
        <w:t xml:space="preserve"> or the </w:t>
      </w:r>
      <w:r w:rsidR="00C604E7">
        <w:t xml:space="preserve">configuration of Tx beams at </w:t>
      </w:r>
      <w:proofErr w:type="spellStart"/>
      <w:r w:rsidR="00C604E7">
        <w:t>gNBs</w:t>
      </w:r>
      <w:proofErr w:type="spellEnd"/>
      <w:r w:rsidR="00C604E7">
        <w:t xml:space="preserve"> and Rx beams at UEs can be optimized</w:t>
      </w:r>
      <w:r>
        <w:t>. However, such optimized operation would not be a generic solution</w:t>
      </w:r>
      <w:r w:rsidR="008A3B80">
        <w:t xml:space="preserve"> for any type of mobile IAB deployment</w:t>
      </w:r>
      <w:r w:rsidR="00B572D1">
        <w:t>. H</w:t>
      </w:r>
      <w:r w:rsidR="00F722AD">
        <w:t>e</w:t>
      </w:r>
      <w:r w:rsidR="00B572D1">
        <w:t>nce,</w:t>
      </w:r>
      <w:r>
        <w:t xml:space="preserve"> </w:t>
      </w:r>
      <w:r w:rsidR="00C81825">
        <w:t xml:space="preserve">HOs or beam switches </w:t>
      </w:r>
      <w:r>
        <w:t>to any target cell</w:t>
      </w:r>
      <w:r w:rsidR="00C81825">
        <w:t>/beam</w:t>
      </w:r>
      <w:r>
        <w:t xml:space="preserve"> should be supported. The mobility procedures apply normal UE connected state mobility. Hence, UE RRM requirements for mobility shall be the baseline for mobile IAB requirements.</w:t>
      </w:r>
    </w:p>
    <w:p w14:paraId="36F25E7C" w14:textId="7D5DC41C" w:rsidR="00550097" w:rsidRPr="00E55751" w:rsidRDefault="00550097" w:rsidP="00550097">
      <w:pPr>
        <w:pStyle w:val="RAN4proposal"/>
      </w:pPr>
      <w:r>
        <w:t>UE RRM requirements for mobility shall be the baseline for mobile IAB requirements.</w:t>
      </w:r>
    </w:p>
    <w:p w14:paraId="0DD94B14" w14:textId="77777777" w:rsidR="00FF699F" w:rsidRDefault="00FF699F" w:rsidP="00550097"/>
    <w:p w14:paraId="0B1F9CC2" w14:textId="15A00F19" w:rsidR="00550097" w:rsidRDefault="00141123" w:rsidP="00550097">
      <w:r>
        <w:t>Mobile IAB</w:t>
      </w:r>
      <w:r w:rsidR="00CA3E2A">
        <w:t>-</w:t>
      </w:r>
      <w:r>
        <w:t>MT shall support basic mobility related functions</w:t>
      </w:r>
      <w:r w:rsidR="005B46D3">
        <w:rPr>
          <w:lang w:val="en-150"/>
        </w:rPr>
        <w:t xml:space="preserve"> such as</w:t>
      </w:r>
      <w:r>
        <w:t>:</w:t>
      </w:r>
    </w:p>
    <w:p w14:paraId="3CEBB680" w14:textId="61D43DCA" w:rsidR="00141123" w:rsidRDefault="00141123" w:rsidP="00141123">
      <w:pPr>
        <w:pStyle w:val="ListParagraph"/>
        <w:numPr>
          <w:ilvl w:val="0"/>
          <w:numId w:val="27"/>
        </w:numPr>
      </w:pPr>
      <w:r>
        <w:lastRenderedPageBreak/>
        <w:t>IDLE state mobility; cell (re-)selections</w:t>
      </w:r>
    </w:p>
    <w:p w14:paraId="45B65734" w14:textId="6585132B" w:rsidR="00141123" w:rsidRDefault="00141123" w:rsidP="00141123">
      <w:pPr>
        <w:pStyle w:val="ListParagraph"/>
        <w:numPr>
          <w:ilvl w:val="1"/>
          <w:numId w:val="27"/>
        </w:numPr>
      </w:pPr>
      <w:r>
        <w:t>After the integration procedure, IAB-MT can be assumed to be normally in CONNECTED state, it may go IDLE due to connection failures where IDLE state mobility is applied</w:t>
      </w:r>
    </w:p>
    <w:p w14:paraId="6BBD1BCF" w14:textId="02C77B6B" w:rsidR="00141123" w:rsidRDefault="00141123" w:rsidP="00141123">
      <w:pPr>
        <w:pStyle w:val="ListParagraph"/>
        <w:numPr>
          <w:ilvl w:val="0"/>
          <w:numId w:val="27"/>
        </w:numPr>
      </w:pPr>
      <w:r>
        <w:t>CONNECTED STATE mobility; HO procedure including access, re-establishment</w:t>
      </w:r>
    </w:p>
    <w:p w14:paraId="1995346E" w14:textId="39D65F36" w:rsidR="00141123" w:rsidRDefault="00141123" w:rsidP="00141123">
      <w:pPr>
        <w:pStyle w:val="ListParagraph"/>
        <w:numPr>
          <w:ilvl w:val="0"/>
          <w:numId w:val="27"/>
        </w:numPr>
      </w:pPr>
      <w:r>
        <w:t>Measurements and measurement reporting</w:t>
      </w:r>
    </w:p>
    <w:p w14:paraId="700F5BF4" w14:textId="322F3CD0" w:rsidR="00141123" w:rsidRDefault="00141123" w:rsidP="00141123">
      <w:pPr>
        <w:pStyle w:val="ListParagraph"/>
        <w:numPr>
          <w:ilvl w:val="0"/>
          <w:numId w:val="27"/>
        </w:numPr>
      </w:pPr>
      <w:r>
        <w:t>SSB/CSI based RLM</w:t>
      </w:r>
    </w:p>
    <w:p w14:paraId="5092219A" w14:textId="48029C45" w:rsidR="00141123" w:rsidRDefault="00141123" w:rsidP="00141123">
      <w:pPr>
        <w:pStyle w:val="ListParagraph"/>
        <w:numPr>
          <w:ilvl w:val="0"/>
          <w:numId w:val="27"/>
        </w:numPr>
      </w:pPr>
      <w:r>
        <w:t>BFD/BFR</w:t>
      </w:r>
    </w:p>
    <w:p w14:paraId="2731E0A7" w14:textId="50676E2C" w:rsidR="00141123" w:rsidRDefault="00141123" w:rsidP="00141123">
      <w:pPr>
        <w:pStyle w:val="ListParagraph"/>
        <w:numPr>
          <w:ilvl w:val="0"/>
          <w:numId w:val="27"/>
        </w:numPr>
      </w:pPr>
      <w:r>
        <w:t>TCI switching</w:t>
      </w:r>
    </w:p>
    <w:p w14:paraId="07A0F58B" w14:textId="63248A40" w:rsidR="00E635CE" w:rsidRDefault="001B55FE" w:rsidP="005C23A4">
      <w:r>
        <w:t xml:space="preserve">In all these cases, the IAB-MT behavior shall be similar if not identical to that of </w:t>
      </w:r>
      <w:proofErr w:type="gramStart"/>
      <w:r>
        <w:t>an</w:t>
      </w:r>
      <w:proofErr w:type="gramEnd"/>
      <w:r>
        <w:t xml:space="preserve"> UE. Some mobile IAB specific scenarios </w:t>
      </w:r>
      <w:r w:rsidR="00951731">
        <w:t xml:space="preserve">like </w:t>
      </w:r>
      <w:proofErr w:type="gramStart"/>
      <w:r>
        <w:t>high speed</w:t>
      </w:r>
      <w:proofErr w:type="gramEnd"/>
      <w:r>
        <w:t xml:space="preserve"> trains </w:t>
      </w:r>
      <w:r w:rsidR="00617E1E">
        <w:t xml:space="preserve">would benefit from </w:t>
      </w:r>
      <w:r w:rsidR="005F33B7">
        <w:t>specialized</w:t>
      </w:r>
      <w:r w:rsidR="00617E1E">
        <w:t xml:space="preserve"> </w:t>
      </w:r>
      <w:r w:rsidR="00D87C5A">
        <w:t>implementation. Corresponding sc</w:t>
      </w:r>
      <w:r w:rsidR="00DB6502">
        <w:t xml:space="preserve">enario is supported in </w:t>
      </w:r>
      <w:r w:rsidR="00851A27">
        <w:t xml:space="preserve">the </w:t>
      </w:r>
      <w:r w:rsidR="00DB6502">
        <w:t>high</w:t>
      </w:r>
      <w:r w:rsidR="00851A27">
        <w:t>-</w:t>
      </w:r>
      <w:r w:rsidR="00DB6502">
        <w:t xml:space="preserve">speed train </w:t>
      </w:r>
      <w:r w:rsidR="008749C1">
        <w:t xml:space="preserve">(HST) </w:t>
      </w:r>
      <w:r w:rsidR="00851A27">
        <w:t xml:space="preserve">case for which </w:t>
      </w:r>
      <w:r w:rsidR="005B46D3">
        <w:rPr>
          <w:lang w:val="en-150"/>
        </w:rPr>
        <w:t>enhanced</w:t>
      </w:r>
      <w:r w:rsidR="008749C1">
        <w:t xml:space="preserve"> RRM requirements have been specified</w:t>
      </w:r>
      <w:r w:rsidR="007B50D1">
        <w:rPr>
          <w:lang w:val="en-150"/>
        </w:rPr>
        <w:t xml:space="preserve"> (e.g., </w:t>
      </w:r>
      <w:r w:rsidR="00AE0ABC">
        <w:rPr>
          <w:lang w:val="en-150"/>
        </w:rPr>
        <w:t>intra-frequency measurements, L1 measurements, etc.</w:t>
      </w:r>
      <w:r w:rsidR="007B50D1">
        <w:rPr>
          <w:lang w:val="en-150"/>
        </w:rPr>
        <w:t>)</w:t>
      </w:r>
      <w:r w:rsidR="008749C1">
        <w:t xml:space="preserve">. </w:t>
      </w:r>
      <w:r w:rsidR="004D01F7">
        <w:t>Mobile IAB can indicate the HST s</w:t>
      </w:r>
      <w:r w:rsidR="009F0208">
        <w:t>upport as</w:t>
      </w:r>
      <w:r w:rsidR="00FE0A66">
        <w:t xml:space="preserve"> a</w:t>
      </w:r>
      <w:r w:rsidR="009F0208">
        <w:t xml:space="preserve"> capability whenever required in the deployment scenario. </w:t>
      </w:r>
      <w:r w:rsidR="009F5933">
        <w:t xml:space="preserve">Hence, this would not be a mandatory support as other </w:t>
      </w:r>
      <w:r w:rsidR="00512645">
        <w:t xml:space="preserve">use cases exist that do not need such </w:t>
      </w:r>
      <w:proofErr w:type="gramStart"/>
      <w:r w:rsidR="00512645">
        <w:t>high speed</w:t>
      </w:r>
      <w:proofErr w:type="gramEnd"/>
      <w:r w:rsidR="00512645">
        <w:t xml:space="preserve"> support.</w:t>
      </w:r>
    </w:p>
    <w:p w14:paraId="3BF5BB33" w14:textId="5C4E60AC" w:rsidR="001B55FE" w:rsidRPr="00E55751" w:rsidRDefault="001B55FE" w:rsidP="001B55FE">
      <w:pPr>
        <w:pStyle w:val="RAN4proposal"/>
      </w:pPr>
      <w:r>
        <w:t xml:space="preserve">For any mobility related </w:t>
      </w:r>
      <w:r w:rsidR="21B5F15F">
        <w:t xml:space="preserve">additional </w:t>
      </w:r>
      <w:r>
        <w:t xml:space="preserve">RRM requirements, </w:t>
      </w:r>
      <w:r w:rsidR="00735789">
        <w:t>e.g.</w:t>
      </w:r>
      <w:r w:rsidR="00152F7F">
        <w:rPr>
          <w:lang w:val="en-150"/>
        </w:rPr>
        <w:t>,</w:t>
      </w:r>
      <w:r w:rsidR="00735789">
        <w:t xml:space="preserve"> </w:t>
      </w:r>
      <w:r w:rsidR="00D1584D">
        <w:rPr>
          <w:lang w:val="en-150"/>
        </w:rPr>
        <w:t xml:space="preserve">in </w:t>
      </w:r>
      <w:r w:rsidR="00735789">
        <w:t>HST</w:t>
      </w:r>
      <w:r w:rsidR="00D1584D">
        <w:rPr>
          <w:lang w:val="en-150"/>
        </w:rPr>
        <w:t xml:space="preserve"> </w:t>
      </w:r>
      <w:r w:rsidR="00DE1789">
        <w:rPr>
          <w:lang w:val="en-150"/>
        </w:rPr>
        <w:t>scenarios</w:t>
      </w:r>
      <w:r>
        <w:t>,</w:t>
      </w:r>
      <w:r w:rsidR="00070489">
        <w:t xml:space="preserve"> </w:t>
      </w:r>
      <w:r w:rsidR="00735789">
        <w:t xml:space="preserve">IAB-MT can indicate the support </w:t>
      </w:r>
      <w:r w:rsidR="00392483">
        <w:rPr>
          <w:lang w:val="en-150"/>
        </w:rPr>
        <w:t>of such</w:t>
      </w:r>
      <w:r w:rsidR="00735789">
        <w:t xml:space="preserve"> capability</w:t>
      </w:r>
      <w:r w:rsidR="0078501E">
        <w:t xml:space="preserve"> not mandating the implementation in all mobile IAB-nodes</w:t>
      </w:r>
      <w:r w:rsidR="00735789">
        <w:t>.</w:t>
      </w:r>
    </w:p>
    <w:p w14:paraId="71273AA1" w14:textId="5B2951F0" w:rsidR="00141123" w:rsidRDefault="00141123" w:rsidP="001B55FE"/>
    <w:p w14:paraId="3F40F661" w14:textId="45DF93CE" w:rsidR="001B55FE" w:rsidRDefault="003E006F" w:rsidP="001B55FE">
      <w:pPr>
        <w:pStyle w:val="RAN4H2"/>
      </w:pPr>
      <w:r>
        <w:t>RRM requirements on timing</w:t>
      </w:r>
    </w:p>
    <w:p w14:paraId="5B39460B" w14:textId="48925BF8" w:rsidR="001B55FE" w:rsidRDefault="00897D1E" w:rsidP="001B55FE">
      <w:r>
        <w:t xml:space="preserve">UE TX timing has </w:t>
      </w:r>
      <w:r w:rsidR="0062594F">
        <w:t>clear requirements supporting UE mobility i.e., varying propagation delays. The same applies also for IAB-MT TX timing and therefore the network control, UE behavior and requirements shall apply also for mobile IAB case:</w:t>
      </w:r>
    </w:p>
    <w:p w14:paraId="4FBF4B00" w14:textId="4F4A2EED" w:rsidR="0062594F" w:rsidRDefault="0062594F" w:rsidP="0062594F">
      <w:pPr>
        <w:pStyle w:val="ListParagraph"/>
        <w:numPr>
          <w:ilvl w:val="0"/>
          <w:numId w:val="27"/>
        </w:numPr>
      </w:pPr>
      <w:r>
        <w:t>Timing advance (TA) control</w:t>
      </w:r>
    </w:p>
    <w:p w14:paraId="6BF7258B" w14:textId="25FCD5D7" w:rsidR="0062594F" w:rsidRDefault="0062594F" w:rsidP="0062594F">
      <w:pPr>
        <w:pStyle w:val="ListParagraph"/>
        <w:numPr>
          <w:ilvl w:val="0"/>
          <w:numId w:val="27"/>
        </w:numPr>
      </w:pPr>
      <w:r>
        <w:t>Allowed TX timing error</w:t>
      </w:r>
    </w:p>
    <w:p w14:paraId="20B4FABA" w14:textId="2D362033" w:rsidR="00AA47B6" w:rsidRDefault="005655EA">
      <w:pPr>
        <w:pStyle w:val="RAN4proposal"/>
      </w:pPr>
      <w:r>
        <w:t xml:space="preserve">IAB-MT TX timing can </w:t>
      </w:r>
      <w:r w:rsidR="008F02F8">
        <w:t xml:space="preserve">follow existing </w:t>
      </w:r>
      <w:r>
        <w:t>UE requirements</w:t>
      </w:r>
      <w:r w:rsidR="008F02F8">
        <w:t>.</w:t>
      </w:r>
    </w:p>
    <w:p w14:paraId="7B5186FB" w14:textId="77777777" w:rsidR="00FF699F" w:rsidRPr="003F70A6" w:rsidRDefault="00FF699F" w:rsidP="003F70A6"/>
    <w:p w14:paraId="6FD05370" w14:textId="66E3A5B6" w:rsidR="0062594F" w:rsidRDefault="005655EA" w:rsidP="0062594F">
      <w:pPr>
        <w:rPr>
          <w:lang w:val="en-GB"/>
        </w:rPr>
      </w:pPr>
      <w:r>
        <w:rPr>
          <w:lang w:val="en-GB"/>
        </w:rPr>
        <w:t xml:space="preserve">For network synchronization, there is a requirement for cell phase synchronization. In IAB case, the synchronization can be achieved by GNSS or OTA synchronization utilizing TA and </w:t>
      </w:r>
      <w:proofErr w:type="spellStart"/>
      <w:r>
        <w:rPr>
          <w:lang w:val="en-GB"/>
        </w:rPr>
        <w:t>T_delta</w:t>
      </w:r>
      <w:proofErr w:type="spellEnd"/>
      <w:r>
        <w:rPr>
          <w:lang w:val="en-GB"/>
        </w:rPr>
        <w:t xml:space="preserve"> signalling.</w:t>
      </w:r>
    </w:p>
    <w:p w14:paraId="46591B85" w14:textId="239276C1" w:rsidR="005655EA" w:rsidRDefault="005655EA" w:rsidP="0062594F">
      <w:pPr>
        <w:rPr>
          <w:lang w:val="en-GB"/>
        </w:rPr>
      </w:pPr>
      <w:r>
        <w:rPr>
          <w:lang w:val="en-GB"/>
        </w:rPr>
        <w:t>GNSS usage will generally be feasible in vehicle scenarios where the receiver is normally outdoors. There can be discontinuity with the availability of GNSS signals</w:t>
      </w:r>
      <w:r w:rsidR="00161DA7">
        <w:t>,</w:t>
      </w:r>
      <w:r>
        <w:rPr>
          <w:lang w:val="en-GB"/>
        </w:rPr>
        <w:t xml:space="preserve"> e.g.</w:t>
      </w:r>
      <w:r w:rsidR="00161DA7">
        <w:t>,</w:t>
      </w:r>
      <w:r>
        <w:rPr>
          <w:lang w:val="en-GB"/>
        </w:rPr>
        <w:t xml:space="preserve"> when going t</w:t>
      </w:r>
      <w:r w:rsidR="006C342F">
        <w:rPr>
          <w:lang w:val="en-150"/>
        </w:rPr>
        <w:t>h</w:t>
      </w:r>
      <w:r>
        <w:rPr>
          <w:lang w:val="en-GB"/>
        </w:rPr>
        <w:t>rough tunnels, in deep street canyons, etc. However, the issue may be overcome with suitable implementation where</w:t>
      </w:r>
      <w:r w:rsidR="002066D5">
        <w:t>,</w:t>
      </w:r>
      <w:r>
        <w:rPr>
          <w:lang w:val="en-GB"/>
        </w:rPr>
        <w:t xml:space="preserve"> e.g.</w:t>
      </w:r>
      <w:r w:rsidR="002066D5">
        <w:t>,</w:t>
      </w:r>
      <w:r>
        <w:rPr>
          <w:lang w:val="en-GB"/>
        </w:rPr>
        <w:t xml:space="preserve"> local clock maintains the timing during</w:t>
      </w:r>
      <w:r w:rsidR="006909DC">
        <w:t xml:space="preserve"> temp</w:t>
      </w:r>
      <w:r w:rsidR="00D12A91">
        <w:t>orary</w:t>
      </w:r>
      <w:r>
        <w:rPr>
          <w:lang w:val="en-GB"/>
        </w:rPr>
        <w:t xml:space="preserve"> the </w:t>
      </w:r>
      <w:r w:rsidR="00FF1F07">
        <w:rPr>
          <w:lang w:val="en-GB"/>
        </w:rPr>
        <w:t>breaks in the GNSS reception.</w:t>
      </w:r>
    </w:p>
    <w:p w14:paraId="4EDD418E" w14:textId="1FD3EC9A" w:rsidR="002A19F5" w:rsidRDefault="00FF1F07" w:rsidP="00E437D2">
      <w:pPr>
        <w:pStyle w:val="RAN4observation0"/>
        <w:rPr>
          <w:lang w:val="en-150"/>
        </w:rPr>
      </w:pPr>
      <w:r>
        <w:t>GNSS can be assumed to be the primary option for mobile IAB synchronization</w:t>
      </w:r>
      <w:r w:rsidR="00C95E0B">
        <w:rPr>
          <w:lang w:val="en-150"/>
        </w:rPr>
        <w:t>.</w:t>
      </w:r>
    </w:p>
    <w:p w14:paraId="4A432228" w14:textId="77777777" w:rsidR="00FF699F" w:rsidRPr="003F70A6" w:rsidRDefault="00FF699F" w:rsidP="003F70A6">
      <w:pPr>
        <w:rPr>
          <w:lang w:val="en-150"/>
        </w:rPr>
      </w:pPr>
    </w:p>
    <w:p w14:paraId="0C6EA62C" w14:textId="51B609F1" w:rsidR="00FF1F07" w:rsidRDefault="00FF1F07" w:rsidP="00FF1F07">
      <w:pPr>
        <w:rPr>
          <w:lang w:val="en-GB"/>
        </w:rPr>
      </w:pPr>
      <w:r>
        <w:rPr>
          <w:lang w:val="en-GB"/>
        </w:rPr>
        <w:t>Rel.16/1</w:t>
      </w:r>
      <w:r w:rsidR="007254A0">
        <w:rPr>
          <w:lang w:val="en-GB"/>
        </w:rPr>
        <w:t>7</w:t>
      </w:r>
      <w:r>
        <w:rPr>
          <w:lang w:val="en-GB"/>
        </w:rPr>
        <w:t xml:space="preserve"> OTA synchronization to set the DU timing will have additional issues due to IAB-node mobility. The DU timing is determined from the DL RX timing and signalled TA and </w:t>
      </w:r>
      <w:proofErr w:type="spellStart"/>
      <w:r>
        <w:rPr>
          <w:lang w:val="en-GB"/>
        </w:rPr>
        <w:t>T_delta</w:t>
      </w:r>
      <w:proofErr w:type="spellEnd"/>
      <w:r>
        <w:rPr>
          <w:lang w:val="en-GB"/>
        </w:rPr>
        <w:t xml:space="preserve"> values. In fixed (stationary) IAB deployment, the propagation delay is fixed and the TA </w:t>
      </w:r>
      <w:r w:rsidR="00976AC4">
        <w:rPr>
          <w:lang w:val="en-GB"/>
        </w:rPr>
        <w:t xml:space="preserve">(and </w:t>
      </w:r>
      <w:proofErr w:type="spellStart"/>
      <w:r w:rsidR="00976AC4">
        <w:rPr>
          <w:lang w:val="en-GB"/>
        </w:rPr>
        <w:t>T_delta</w:t>
      </w:r>
      <w:proofErr w:type="spellEnd"/>
      <w:r w:rsidR="00976AC4">
        <w:rPr>
          <w:lang w:val="en-GB"/>
        </w:rPr>
        <w:t xml:space="preserve">) </w:t>
      </w:r>
      <w:r>
        <w:rPr>
          <w:lang w:val="en-GB"/>
        </w:rPr>
        <w:t xml:space="preserve">does not have to adapt to changes in the propagation delay but rather to possible timing drift due to frequency offsets in the reference </w:t>
      </w:r>
      <w:r w:rsidR="00660663">
        <w:rPr>
          <w:lang w:val="en-GB"/>
        </w:rPr>
        <w:t xml:space="preserve">clocks </w:t>
      </w:r>
      <w:r>
        <w:rPr>
          <w:lang w:val="en-GB"/>
        </w:rPr>
        <w:t xml:space="preserve">at the parent and IAB nodes. In mobile IAB case, TA </w:t>
      </w:r>
      <w:r w:rsidR="00976AC4">
        <w:rPr>
          <w:lang w:val="en-GB"/>
        </w:rPr>
        <w:t xml:space="preserve">must </w:t>
      </w:r>
      <w:r>
        <w:rPr>
          <w:lang w:val="en-GB"/>
        </w:rPr>
        <w:t xml:space="preserve">adapt the timing for the </w:t>
      </w:r>
      <w:r w:rsidR="00976AC4">
        <w:rPr>
          <w:lang w:val="en-GB"/>
        </w:rPr>
        <w:t>instantaneous</w:t>
      </w:r>
      <w:r>
        <w:rPr>
          <w:lang w:val="en-GB"/>
        </w:rPr>
        <w:t xml:space="preserve"> propagation delay</w:t>
      </w:r>
      <w:r w:rsidR="00976AC4">
        <w:rPr>
          <w:lang w:val="en-GB"/>
        </w:rPr>
        <w:t xml:space="preserve"> the same way as UE. The TA control is anyway applicable as such for mobile IAB-MT TX adjustment and, as said, UE requirements and behaviour can be applied.</w:t>
      </w:r>
    </w:p>
    <w:p w14:paraId="1DB70B70" w14:textId="31262A8C" w:rsidR="00434FAD" w:rsidRDefault="006164B3" w:rsidP="00434FAD">
      <w:pPr>
        <w:pStyle w:val="RAN4observation0"/>
      </w:pPr>
      <w:r>
        <w:t xml:space="preserve">TA control and related requirements for UL TX timing </w:t>
      </w:r>
      <w:r w:rsidR="51B7F42C">
        <w:t xml:space="preserve">and OTA DU synchronization </w:t>
      </w:r>
      <w:r>
        <w:t xml:space="preserve">specified for UE </w:t>
      </w:r>
      <w:r w:rsidR="00A44E38">
        <w:t>are applicable for mobile IAB-MT.</w:t>
      </w:r>
    </w:p>
    <w:p w14:paraId="0371180F" w14:textId="0B1CB084" w:rsidR="25EF1A7D" w:rsidRDefault="25EF1A7D" w:rsidP="25EF1A7D">
      <w:pPr>
        <w:rPr>
          <w:lang w:val="en-GB"/>
        </w:rPr>
      </w:pPr>
    </w:p>
    <w:p w14:paraId="6C9FE229" w14:textId="1E332214" w:rsidR="00DD3822" w:rsidRPr="006527FF" w:rsidRDefault="00DD3822" w:rsidP="003F70A6">
      <w:r>
        <w:rPr>
          <w:lang w:val="en-GB"/>
        </w:rPr>
        <w:t>If</w:t>
      </w:r>
      <w:r w:rsidR="00576359">
        <w:rPr>
          <w:lang w:val="en-GB"/>
        </w:rPr>
        <w:t xml:space="preserve"> DU timing is based on OTA, in mobile scenario, the additional uncertainty comes from the </w:t>
      </w:r>
      <w:r w:rsidR="008A3EA2">
        <w:rPr>
          <w:lang w:val="en-GB"/>
        </w:rPr>
        <w:t>Doppler shift on the parent link</w:t>
      </w:r>
      <w:r w:rsidR="00026B9E">
        <w:rPr>
          <w:lang w:val="en-GB"/>
        </w:rPr>
        <w:t xml:space="preserve"> (IAB-MT RX)</w:t>
      </w:r>
      <w:r w:rsidR="008A3EA2">
        <w:rPr>
          <w:lang w:val="en-GB"/>
        </w:rPr>
        <w:t xml:space="preserve">. </w:t>
      </w:r>
      <w:r w:rsidR="00F07F44">
        <w:rPr>
          <w:lang w:val="en-GB"/>
        </w:rPr>
        <w:t xml:space="preserve">There are, however, different implementation options </w:t>
      </w:r>
      <w:r w:rsidR="002B33EC">
        <w:rPr>
          <w:lang w:val="en-GB"/>
        </w:rPr>
        <w:t xml:space="preserve">for IAB MT and DU frequency references. Furthermore, the </w:t>
      </w:r>
      <w:r w:rsidR="00AE43AF">
        <w:rPr>
          <w:lang w:val="en-GB"/>
        </w:rPr>
        <w:t>eventual requirement for the DU timing accuracy i.e., cell phase synchronization,</w:t>
      </w:r>
      <w:r w:rsidR="00B84CB3">
        <w:rPr>
          <w:lang w:val="en-GB"/>
        </w:rPr>
        <w:t xml:space="preserve"> do not </w:t>
      </w:r>
      <w:r w:rsidR="00B84CB3">
        <w:rPr>
          <w:lang w:val="en-GB"/>
        </w:rPr>
        <w:lastRenderedPageBreak/>
        <w:t xml:space="preserve">have to be anything different from the </w:t>
      </w:r>
      <w:r w:rsidR="00DD1D5A">
        <w:rPr>
          <w:lang w:val="en-GB"/>
        </w:rPr>
        <w:t>fixed deployments. For this reason, no new requirements a</w:t>
      </w:r>
      <w:r w:rsidR="00640B4C">
        <w:rPr>
          <w:lang w:val="en-GB"/>
        </w:rPr>
        <w:t xml:space="preserve">re </w:t>
      </w:r>
      <w:proofErr w:type="gramStart"/>
      <w:r w:rsidR="00640B4C">
        <w:rPr>
          <w:lang w:val="en-GB"/>
        </w:rPr>
        <w:t>needed</w:t>
      </w:r>
      <w:proofErr w:type="gramEnd"/>
      <w:r w:rsidR="00640B4C">
        <w:rPr>
          <w:lang w:val="en-GB"/>
        </w:rPr>
        <w:t xml:space="preserve"> and it can be left for implementation how the timing accuracy is achieved.</w:t>
      </w:r>
    </w:p>
    <w:p w14:paraId="38D6ADC1" w14:textId="55B3E773" w:rsidR="00F5011A" w:rsidRDefault="00327EC4">
      <w:pPr>
        <w:pStyle w:val="RAN4observation0"/>
      </w:pPr>
      <w:r>
        <w:t xml:space="preserve">Legacy IAB-DU </w:t>
      </w:r>
      <w:r w:rsidR="0031764F">
        <w:t xml:space="preserve">TX </w:t>
      </w:r>
      <w:r>
        <w:t xml:space="preserve">timing requirement </w:t>
      </w:r>
      <w:r w:rsidR="0031764F">
        <w:t xml:space="preserve">apply </w:t>
      </w:r>
      <w:r w:rsidR="00C46362">
        <w:t xml:space="preserve">in </w:t>
      </w:r>
      <w:r w:rsidR="0031764F">
        <w:t>Mobile IAB.</w:t>
      </w:r>
      <w:r w:rsidR="00C3224D">
        <w:rPr>
          <w:lang w:val="en-150"/>
        </w:rPr>
        <w:t xml:space="preserve"> </w:t>
      </w:r>
      <w:r w:rsidR="00F5011A">
        <w:t>How to cope with Doppler shift on the parent link can be left for implementation.</w:t>
      </w:r>
    </w:p>
    <w:p w14:paraId="304003BF" w14:textId="77777777" w:rsidR="00C84448" w:rsidRPr="006C342F" w:rsidRDefault="00C84448" w:rsidP="003F70A6"/>
    <w:p w14:paraId="1928CBFD" w14:textId="7BFD97B8" w:rsidR="005B4801" w:rsidRDefault="0096617D" w:rsidP="000239F5">
      <w:pPr>
        <w:pStyle w:val="RAN4proposal"/>
      </w:pPr>
      <w:r>
        <w:t>No additional Rel.18</w:t>
      </w:r>
      <w:r w:rsidR="003165EC">
        <w:rPr>
          <w:lang w:val="en-150"/>
        </w:rPr>
        <w:t xml:space="preserve"> requirements on timing</w:t>
      </w:r>
      <w:r>
        <w:t xml:space="preserve"> are anticipated for </w:t>
      </w:r>
      <w:r w:rsidR="00DF4781">
        <w:t>mobile IAB timing</w:t>
      </w:r>
      <w:r w:rsidR="00D61175">
        <w:t>.</w:t>
      </w:r>
    </w:p>
    <w:p w14:paraId="4D2675DC" w14:textId="77777777" w:rsidR="0060543D" w:rsidRDefault="0060543D" w:rsidP="0060543D"/>
    <w:p w14:paraId="578467AA" w14:textId="77777777" w:rsidR="0060543D" w:rsidRPr="0060543D" w:rsidRDefault="0060543D" w:rsidP="0060543D"/>
    <w:p w14:paraId="0D89D06F" w14:textId="77777777" w:rsidR="00CD7492" w:rsidRPr="00EF698B" w:rsidRDefault="00CD7492" w:rsidP="00A37002">
      <w:pPr>
        <w:pStyle w:val="RAN4H1"/>
        <w:rPr>
          <w:lang w:val="en-US"/>
        </w:rPr>
      </w:pPr>
      <w:bookmarkStart w:id="5" w:name="_Toc116995848"/>
      <w:r w:rsidRPr="00EF698B">
        <w:rPr>
          <w:lang w:val="en-US"/>
        </w:rPr>
        <w:t>Conclusion</w:t>
      </w:r>
      <w:bookmarkEnd w:id="5"/>
    </w:p>
    <w:p w14:paraId="5F4F99FB" w14:textId="7B29A5C0" w:rsidR="007C5971" w:rsidRDefault="003F70A6" w:rsidP="005C23A4">
      <w:r w:rsidRPr="003F70A6">
        <w:t>In this contribution we discuss</w:t>
      </w:r>
      <w:r>
        <w:rPr>
          <w:lang w:val="en-150"/>
        </w:rPr>
        <w:t>ed</w:t>
      </w:r>
      <w:r w:rsidRPr="003F70A6">
        <w:t xml:space="preserve"> potential RRM implications related to mobile IAB scenarios</w:t>
      </w:r>
    </w:p>
    <w:p w14:paraId="0BD30CED" w14:textId="2ED6E741" w:rsidR="00E55751" w:rsidRDefault="008B0961" w:rsidP="00936159">
      <w:r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Pr="00E55751">
        <w:t>and</w:t>
      </w:r>
      <w:r w:rsidR="005B4801">
        <w:t xml:space="preserve"> Proposals were made:</w:t>
      </w:r>
    </w:p>
    <w:p w14:paraId="29C245C4" w14:textId="77777777" w:rsidR="003F70A6" w:rsidRPr="00E55751" w:rsidRDefault="003F70A6" w:rsidP="003F70A6">
      <w:pPr>
        <w:pStyle w:val="RAN4proposal"/>
        <w:numPr>
          <w:ilvl w:val="0"/>
          <w:numId w:val="29"/>
        </w:numPr>
      </w:pPr>
      <w:r>
        <w:t>UE RRM requirements for mobility shall be the baseline for mobile IAB requirements.</w:t>
      </w:r>
    </w:p>
    <w:p w14:paraId="7BB6DD8A" w14:textId="77777777" w:rsidR="003F70A6" w:rsidRPr="00E55751" w:rsidRDefault="003F70A6" w:rsidP="003F70A6">
      <w:pPr>
        <w:pStyle w:val="RAN4proposal"/>
        <w:numPr>
          <w:ilvl w:val="0"/>
          <w:numId w:val="29"/>
        </w:numPr>
      </w:pPr>
      <w:r>
        <w:t>For any mobility related additional RRM requirements, e.g.</w:t>
      </w:r>
      <w:r w:rsidRPr="003F70A6">
        <w:rPr>
          <w:lang w:val="en-150"/>
        </w:rPr>
        <w:t>,</w:t>
      </w:r>
      <w:r>
        <w:t xml:space="preserve"> </w:t>
      </w:r>
      <w:r w:rsidRPr="003F70A6">
        <w:rPr>
          <w:lang w:val="en-150"/>
        </w:rPr>
        <w:t xml:space="preserve">in </w:t>
      </w:r>
      <w:r>
        <w:t>HST</w:t>
      </w:r>
      <w:r w:rsidRPr="003F70A6">
        <w:rPr>
          <w:lang w:val="en-150"/>
        </w:rPr>
        <w:t xml:space="preserve"> scenarios</w:t>
      </w:r>
      <w:r>
        <w:t xml:space="preserve">, IAB-MT can indicate the support </w:t>
      </w:r>
      <w:r w:rsidRPr="003F70A6">
        <w:rPr>
          <w:lang w:val="en-150"/>
        </w:rPr>
        <w:t>of such</w:t>
      </w:r>
      <w:r>
        <w:t xml:space="preserve"> capability not mandating the implementation in all mobile IAB-nodes.</w:t>
      </w:r>
    </w:p>
    <w:p w14:paraId="29A25A02" w14:textId="77777777" w:rsidR="003F70A6" w:rsidRDefault="003F70A6" w:rsidP="003F70A6">
      <w:pPr>
        <w:pStyle w:val="RAN4proposal"/>
        <w:numPr>
          <w:ilvl w:val="0"/>
          <w:numId w:val="29"/>
        </w:numPr>
      </w:pPr>
      <w:r>
        <w:t>IAB-MT TX timing can follow existing UE requirements.</w:t>
      </w:r>
    </w:p>
    <w:p w14:paraId="4513EA51" w14:textId="77777777" w:rsidR="003F70A6" w:rsidRPr="003F70A6" w:rsidRDefault="003F70A6" w:rsidP="003F70A6">
      <w:pPr>
        <w:pStyle w:val="RAN4Observation"/>
        <w:numPr>
          <w:ilvl w:val="0"/>
          <w:numId w:val="30"/>
        </w:numPr>
        <w:rPr>
          <w:lang w:val="en-150"/>
        </w:rPr>
      </w:pPr>
      <w:r>
        <w:t>GNSS can be assumed to be the primary option for mobile IAB synchronization</w:t>
      </w:r>
      <w:r w:rsidRPr="003F70A6">
        <w:rPr>
          <w:lang w:val="en-150"/>
        </w:rPr>
        <w:t>.</w:t>
      </w:r>
    </w:p>
    <w:p w14:paraId="7BABA909" w14:textId="77777777" w:rsidR="003F70A6" w:rsidRDefault="003F70A6" w:rsidP="003F70A6">
      <w:pPr>
        <w:pStyle w:val="RAN4Observation"/>
        <w:numPr>
          <w:ilvl w:val="0"/>
          <w:numId w:val="30"/>
        </w:numPr>
      </w:pPr>
      <w:r>
        <w:t>TA control and related requirements for UL TX timing and OTA DU synchronization specified for UE are applicable for mobile IAB-MT.</w:t>
      </w:r>
    </w:p>
    <w:p w14:paraId="393A11E5" w14:textId="77777777" w:rsidR="003F70A6" w:rsidRDefault="003F70A6" w:rsidP="003F70A6">
      <w:pPr>
        <w:pStyle w:val="RAN4Observation"/>
        <w:numPr>
          <w:ilvl w:val="0"/>
          <w:numId w:val="30"/>
        </w:numPr>
      </w:pPr>
      <w:r>
        <w:t>Legacy IAB-DU TX timing requirement apply in Mobile IAB.</w:t>
      </w:r>
      <w:r w:rsidRPr="003F70A6">
        <w:rPr>
          <w:lang w:val="en-150"/>
        </w:rPr>
        <w:t xml:space="preserve"> </w:t>
      </w:r>
      <w:r>
        <w:t>How to cope with Doppler shift on the parent link can be left for implementation.</w:t>
      </w:r>
    </w:p>
    <w:p w14:paraId="79ED2854" w14:textId="77777777" w:rsidR="003F70A6" w:rsidRDefault="003F70A6" w:rsidP="003F70A6">
      <w:pPr>
        <w:pStyle w:val="RAN4proposal"/>
      </w:pPr>
      <w:r>
        <w:t>No additional Rel.18</w:t>
      </w:r>
      <w:r>
        <w:rPr>
          <w:lang w:val="en-150"/>
        </w:rPr>
        <w:t xml:space="preserve"> requirements on timing</w:t>
      </w:r>
      <w:r>
        <w:t xml:space="preserve"> are anticipated for mobile IAB timing.</w:t>
      </w:r>
    </w:p>
    <w:p w14:paraId="5F185F7B" w14:textId="44A8C94A" w:rsidR="003F70A6" w:rsidRDefault="003F70A6" w:rsidP="00936159">
      <w:pPr>
        <w:rPr>
          <w:highlight w:val="yellow"/>
        </w:rPr>
      </w:pPr>
    </w:p>
    <w:p w14:paraId="1A3EE53E" w14:textId="77777777" w:rsidR="003F70A6" w:rsidRDefault="003F70A6" w:rsidP="00936159">
      <w:pPr>
        <w:rPr>
          <w:highlight w:val="yellow"/>
        </w:rPr>
      </w:pPr>
    </w:p>
    <w:p w14:paraId="505E5962" w14:textId="0AAD60BA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6" w:name="_Toc116995849"/>
      <w:r w:rsidRPr="00EF698B">
        <w:t>References</w:t>
      </w:r>
      <w:bookmarkEnd w:id="6"/>
    </w:p>
    <w:p w14:paraId="19C2C5C6" w14:textId="77777777" w:rsidR="00E635CE" w:rsidRDefault="00E635CE" w:rsidP="00E635CE">
      <w:pPr>
        <w:pStyle w:val="ListParagraph"/>
        <w:numPr>
          <w:ilvl w:val="0"/>
          <w:numId w:val="21"/>
        </w:numPr>
        <w:ind w:right="-22"/>
      </w:pPr>
      <w:bookmarkStart w:id="7" w:name="_Ref114500673"/>
      <w:bookmarkStart w:id="8" w:name="_Hlk125456113"/>
      <w:bookmarkEnd w:id="7"/>
      <w:r w:rsidRPr="00B85140">
        <w:t xml:space="preserve">RP-222671, </w:t>
      </w:r>
      <w:r w:rsidRPr="00B85140">
        <w:rPr>
          <w:i/>
          <w:iCs/>
        </w:rPr>
        <w:t>Mobile IAB (Integrated Access and Backhaul) for NR</w:t>
      </w:r>
      <w:r w:rsidRPr="005853A9">
        <w:t xml:space="preserve"> </w:t>
      </w:r>
    </w:p>
    <w:p w14:paraId="602A0AC7" w14:textId="01A5CFD6" w:rsidR="00E635CE" w:rsidRPr="00B85140" w:rsidRDefault="00FF699F" w:rsidP="00E635CE">
      <w:pPr>
        <w:pStyle w:val="ListParagraph"/>
        <w:numPr>
          <w:ilvl w:val="0"/>
          <w:numId w:val="21"/>
        </w:numPr>
        <w:ind w:right="-22"/>
      </w:pPr>
      <w:r w:rsidRPr="00FF699F">
        <w:t>R4-2300687</w:t>
      </w:r>
      <w:r w:rsidR="00E635CE">
        <w:t xml:space="preserve">, </w:t>
      </w:r>
      <w:r w:rsidR="00E635CE" w:rsidRPr="005853A9">
        <w:rPr>
          <w:i/>
          <w:iCs/>
        </w:rPr>
        <w:t>Mobile IAB co-existence</w:t>
      </w:r>
      <w:r w:rsidR="00E635CE">
        <w:t>, Nokia, Nokia Shanghai Bell</w:t>
      </w:r>
      <w:bookmarkEnd w:id="8"/>
      <w:r>
        <w:rPr>
          <w:lang w:val="en-150"/>
        </w:rPr>
        <w:t>, RAN4#106.</w:t>
      </w:r>
    </w:p>
    <w:sectPr w:rsidR="00E635CE" w:rsidRPr="00B8514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133A0" w14:textId="77777777" w:rsidR="00234F2B" w:rsidRDefault="00234F2B" w:rsidP="00001C9B">
      <w:pPr>
        <w:spacing w:after="0" w:line="240" w:lineRule="auto"/>
      </w:pPr>
      <w:r>
        <w:separator/>
      </w:r>
    </w:p>
  </w:endnote>
  <w:endnote w:type="continuationSeparator" w:id="0">
    <w:p w14:paraId="60C6A874" w14:textId="77777777" w:rsidR="00234F2B" w:rsidRDefault="00234F2B" w:rsidP="00001C9B">
      <w:pPr>
        <w:spacing w:after="0" w:line="240" w:lineRule="auto"/>
      </w:pPr>
      <w:r>
        <w:continuationSeparator/>
      </w:r>
    </w:p>
  </w:endnote>
  <w:endnote w:type="continuationNotice" w:id="1">
    <w:p w14:paraId="7011646E" w14:textId="77777777" w:rsidR="00234F2B" w:rsidRDefault="00234F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dobe Hebrew">
    <w:panose1 w:val="00000000000000000000"/>
    <w:charset w:val="00"/>
    <w:family w:val="roman"/>
    <w:notTrueType/>
    <w:pitch w:val="variable"/>
    <w:sig w:usb0="00000803" w:usb1="40000000" w:usb2="00000000" w:usb3="00000000" w:csb0="0000002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52846" w14:textId="77777777" w:rsidR="00234F2B" w:rsidRDefault="00234F2B" w:rsidP="00001C9B">
      <w:pPr>
        <w:spacing w:after="0" w:line="240" w:lineRule="auto"/>
      </w:pPr>
      <w:r>
        <w:separator/>
      </w:r>
    </w:p>
  </w:footnote>
  <w:footnote w:type="continuationSeparator" w:id="0">
    <w:p w14:paraId="351CBEF0" w14:textId="77777777" w:rsidR="00234F2B" w:rsidRDefault="00234F2B" w:rsidP="00001C9B">
      <w:pPr>
        <w:spacing w:after="0" w:line="240" w:lineRule="auto"/>
      </w:pPr>
      <w:r>
        <w:continuationSeparator/>
      </w:r>
    </w:p>
  </w:footnote>
  <w:footnote w:type="continuationNotice" w:id="1">
    <w:p w14:paraId="64EF8405" w14:textId="77777777" w:rsidR="00234F2B" w:rsidRDefault="00234F2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37D66BAC"/>
    <w:lvl w:ilvl="0" w:tplc="3FFE53C4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CD45689"/>
    <w:multiLevelType w:val="hybridMultilevel"/>
    <w:tmpl w:val="6720A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4"/>
  </w:num>
  <w:num w:numId="5">
    <w:abstractNumId w:val="13"/>
  </w:num>
  <w:num w:numId="6">
    <w:abstractNumId w:val="7"/>
  </w:num>
  <w:num w:numId="7">
    <w:abstractNumId w:val="8"/>
  </w:num>
  <w:num w:numId="8">
    <w:abstractNumId w:val="8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5"/>
  </w:num>
  <w:num w:numId="16">
    <w:abstractNumId w:val="3"/>
  </w:num>
  <w:num w:numId="17">
    <w:abstractNumId w:val="11"/>
  </w:num>
  <w:num w:numId="18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0"/>
  </w:num>
  <w:num w:numId="22">
    <w:abstractNumId w:val="7"/>
    <w:lvlOverride w:ilvl="0">
      <w:startOverride w:val="1"/>
    </w:lvlOverride>
  </w:num>
  <w:num w:numId="23">
    <w:abstractNumId w:val="8"/>
    <w:lvlOverride w:ilvl="0">
      <w:startOverride w:val="1"/>
    </w:lvlOverride>
  </w:num>
  <w:num w:numId="24">
    <w:abstractNumId w:val="2"/>
  </w:num>
  <w:num w:numId="25">
    <w:abstractNumId w:val="0"/>
  </w:num>
  <w:num w:numId="26">
    <w:abstractNumId w:val="0"/>
    <w:lvlOverride w:ilvl="0">
      <w:startOverride w:val="1"/>
    </w:lvlOverride>
  </w:num>
  <w:num w:numId="27">
    <w:abstractNumId w:val="12"/>
  </w:num>
  <w:num w:numId="28">
    <w:abstractNumId w:val="14"/>
  </w:num>
  <w:num w:numId="29">
    <w:abstractNumId w:val="8"/>
    <w:lvlOverride w:ilvl="0">
      <w:startOverride w:val="1"/>
    </w:lvlOverride>
  </w:num>
  <w:num w:numId="30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B6B90"/>
    <w:rsid w:val="00001C9B"/>
    <w:rsid w:val="000040DC"/>
    <w:rsid w:val="000151EF"/>
    <w:rsid w:val="000239F5"/>
    <w:rsid w:val="00026B9E"/>
    <w:rsid w:val="00070489"/>
    <w:rsid w:val="0008612A"/>
    <w:rsid w:val="00090E18"/>
    <w:rsid w:val="000A10BC"/>
    <w:rsid w:val="000B0056"/>
    <w:rsid w:val="000C3C7B"/>
    <w:rsid w:val="000D0F93"/>
    <w:rsid w:val="00106416"/>
    <w:rsid w:val="00110481"/>
    <w:rsid w:val="001127C9"/>
    <w:rsid w:val="00115B88"/>
    <w:rsid w:val="0013166E"/>
    <w:rsid w:val="00132F6A"/>
    <w:rsid w:val="00133913"/>
    <w:rsid w:val="00140221"/>
    <w:rsid w:val="00141123"/>
    <w:rsid w:val="00152F7F"/>
    <w:rsid w:val="00161DA7"/>
    <w:rsid w:val="001642FC"/>
    <w:rsid w:val="00164489"/>
    <w:rsid w:val="0016496B"/>
    <w:rsid w:val="001743E2"/>
    <w:rsid w:val="001745F8"/>
    <w:rsid w:val="001838CF"/>
    <w:rsid w:val="001868EE"/>
    <w:rsid w:val="001A3BA4"/>
    <w:rsid w:val="001A6D1F"/>
    <w:rsid w:val="001B1F27"/>
    <w:rsid w:val="001B55FE"/>
    <w:rsid w:val="001E14ED"/>
    <w:rsid w:val="001E30F6"/>
    <w:rsid w:val="001F55B3"/>
    <w:rsid w:val="002066D5"/>
    <w:rsid w:val="00217EE5"/>
    <w:rsid w:val="002312BA"/>
    <w:rsid w:val="00234F2B"/>
    <w:rsid w:val="00235F5C"/>
    <w:rsid w:val="00255508"/>
    <w:rsid w:val="00257FA3"/>
    <w:rsid w:val="002648D2"/>
    <w:rsid w:val="00273221"/>
    <w:rsid w:val="00277B56"/>
    <w:rsid w:val="00297086"/>
    <w:rsid w:val="002A19F5"/>
    <w:rsid w:val="002B33EC"/>
    <w:rsid w:val="002B4922"/>
    <w:rsid w:val="002C22C3"/>
    <w:rsid w:val="002C2D19"/>
    <w:rsid w:val="002D10FA"/>
    <w:rsid w:val="002D4C55"/>
    <w:rsid w:val="002E6DED"/>
    <w:rsid w:val="00300956"/>
    <w:rsid w:val="003165EC"/>
    <w:rsid w:val="00317187"/>
    <w:rsid w:val="0031764F"/>
    <w:rsid w:val="0032499A"/>
    <w:rsid w:val="00327EC4"/>
    <w:rsid w:val="003341F7"/>
    <w:rsid w:val="00347FEC"/>
    <w:rsid w:val="00356F45"/>
    <w:rsid w:val="00360FDD"/>
    <w:rsid w:val="00366B74"/>
    <w:rsid w:val="0037787A"/>
    <w:rsid w:val="00392483"/>
    <w:rsid w:val="003A710A"/>
    <w:rsid w:val="003B269A"/>
    <w:rsid w:val="003B659E"/>
    <w:rsid w:val="003C275E"/>
    <w:rsid w:val="003E006F"/>
    <w:rsid w:val="003E58DF"/>
    <w:rsid w:val="003F70A6"/>
    <w:rsid w:val="00404C4C"/>
    <w:rsid w:val="0041423F"/>
    <w:rsid w:val="00414F81"/>
    <w:rsid w:val="00434FAD"/>
    <w:rsid w:val="00436A0F"/>
    <w:rsid w:val="00437150"/>
    <w:rsid w:val="0043750A"/>
    <w:rsid w:val="004732E9"/>
    <w:rsid w:val="00483042"/>
    <w:rsid w:val="004854BB"/>
    <w:rsid w:val="00495405"/>
    <w:rsid w:val="00496606"/>
    <w:rsid w:val="004A6896"/>
    <w:rsid w:val="004D01F7"/>
    <w:rsid w:val="004E5969"/>
    <w:rsid w:val="004E5E66"/>
    <w:rsid w:val="004E7162"/>
    <w:rsid w:val="004E7ADB"/>
    <w:rsid w:val="00503B4D"/>
    <w:rsid w:val="00504EE9"/>
    <w:rsid w:val="00512645"/>
    <w:rsid w:val="005172F1"/>
    <w:rsid w:val="00521576"/>
    <w:rsid w:val="005250E6"/>
    <w:rsid w:val="00537067"/>
    <w:rsid w:val="00542D23"/>
    <w:rsid w:val="0054442C"/>
    <w:rsid w:val="00550097"/>
    <w:rsid w:val="00550285"/>
    <w:rsid w:val="00555391"/>
    <w:rsid w:val="00562492"/>
    <w:rsid w:val="005655EA"/>
    <w:rsid w:val="00572A20"/>
    <w:rsid w:val="00576359"/>
    <w:rsid w:val="005836F8"/>
    <w:rsid w:val="005918FA"/>
    <w:rsid w:val="00592A86"/>
    <w:rsid w:val="005B46D3"/>
    <w:rsid w:val="005B4801"/>
    <w:rsid w:val="005C23A4"/>
    <w:rsid w:val="005D1CDF"/>
    <w:rsid w:val="005D2BB7"/>
    <w:rsid w:val="005E61A8"/>
    <w:rsid w:val="005F33B7"/>
    <w:rsid w:val="005F6419"/>
    <w:rsid w:val="0060543D"/>
    <w:rsid w:val="006104DD"/>
    <w:rsid w:val="006130B5"/>
    <w:rsid w:val="006164B3"/>
    <w:rsid w:val="00617400"/>
    <w:rsid w:val="00617E1E"/>
    <w:rsid w:val="0062594F"/>
    <w:rsid w:val="00632D29"/>
    <w:rsid w:val="00640B4C"/>
    <w:rsid w:val="006527FF"/>
    <w:rsid w:val="00660663"/>
    <w:rsid w:val="00664950"/>
    <w:rsid w:val="00683220"/>
    <w:rsid w:val="00687FA0"/>
    <w:rsid w:val="006909DC"/>
    <w:rsid w:val="006A3C11"/>
    <w:rsid w:val="006B7010"/>
    <w:rsid w:val="006C3095"/>
    <w:rsid w:val="006C342F"/>
    <w:rsid w:val="006E1151"/>
    <w:rsid w:val="006E6311"/>
    <w:rsid w:val="006E6B36"/>
    <w:rsid w:val="007145FF"/>
    <w:rsid w:val="00715B2A"/>
    <w:rsid w:val="007254A0"/>
    <w:rsid w:val="00735789"/>
    <w:rsid w:val="007450F1"/>
    <w:rsid w:val="00751515"/>
    <w:rsid w:val="007626B7"/>
    <w:rsid w:val="0078212B"/>
    <w:rsid w:val="00784DF6"/>
    <w:rsid w:val="0078501E"/>
    <w:rsid w:val="00785232"/>
    <w:rsid w:val="00794625"/>
    <w:rsid w:val="007B186C"/>
    <w:rsid w:val="007B457F"/>
    <w:rsid w:val="007B50D1"/>
    <w:rsid w:val="007C1696"/>
    <w:rsid w:val="007C3ED0"/>
    <w:rsid w:val="007C5971"/>
    <w:rsid w:val="007E6973"/>
    <w:rsid w:val="007F54B9"/>
    <w:rsid w:val="00806A76"/>
    <w:rsid w:val="00811C9D"/>
    <w:rsid w:val="00812774"/>
    <w:rsid w:val="00816C80"/>
    <w:rsid w:val="00841BCD"/>
    <w:rsid w:val="00851A27"/>
    <w:rsid w:val="00851A8E"/>
    <w:rsid w:val="0085365B"/>
    <w:rsid w:val="008749C1"/>
    <w:rsid w:val="00876E67"/>
    <w:rsid w:val="008826C1"/>
    <w:rsid w:val="00883DFD"/>
    <w:rsid w:val="00897D1E"/>
    <w:rsid w:val="008A1BF7"/>
    <w:rsid w:val="008A3B80"/>
    <w:rsid w:val="008A3EA2"/>
    <w:rsid w:val="008A5B0E"/>
    <w:rsid w:val="008B0961"/>
    <w:rsid w:val="008B7246"/>
    <w:rsid w:val="008E622C"/>
    <w:rsid w:val="008F02F8"/>
    <w:rsid w:val="0090091A"/>
    <w:rsid w:val="009042BD"/>
    <w:rsid w:val="009120DD"/>
    <w:rsid w:val="00936159"/>
    <w:rsid w:val="00936633"/>
    <w:rsid w:val="00951731"/>
    <w:rsid w:val="0096617D"/>
    <w:rsid w:val="00976AC4"/>
    <w:rsid w:val="00977E1D"/>
    <w:rsid w:val="009957DC"/>
    <w:rsid w:val="009A5EFA"/>
    <w:rsid w:val="009B0573"/>
    <w:rsid w:val="009B7B4B"/>
    <w:rsid w:val="009B7C21"/>
    <w:rsid w:val="009C52A0"/>
    <w:rsid w:val="009F0208"/>
    <w:rsid w:val="009F5933"/>
    <w:rsid w:val="00A04992"/>
    <w:rsid w:val="00A04F09"/>
    <w:rsid w:val="00A147AA"/>
    <w:rsid w:val="00A21D71"/>
    <w:rsid w:val="00A22B78"/>
    <w:rsid w:val="00A25AE5"/>
    <w:rsid w:val="00A37002"/>
    <w:rsid w:val="00A4355E"/>
    <w:rsid w:val="00A44E38"/>
    <w:rsid w:val="00A92BCD"/>
    <w:rsid w:val="00AA1B0E"/>
    <w:rsid w:val="00AA47B6"/>
    <w:rsid w:val="00AC163B"/>
    <w:rsid w:val="00AC4577"/>
    <w:rsid w:val="00AC5CA7"/>
    <w:rsid w:val="00AC6058"/>
    <w:rsid w:val="00AE0ABC"/>
    <w:rsid w:val="00AE2BA5"/>
    <w:rsid w:val="00AE43AF"/>
    <w:rsid w:val="00AE56B1"/>
    <w:rsid w:val="00AE6D09"/>
    <w:rsid w:val="00AF7A7C"/>
    <w:rsid w:val="00B25719"/>
    <w:rsid w:val="00B32965"/>
    <w:rsid w:val="00B408B6"/>
    <w:rsid w:val="00B5040C"/>
    <w:rsid w:val="00B542DA"/>
    <w:rsid w:val="00B572D1"/>
    <w:rsid w:val="00B73862"/>
    <w:rsid w:val="00B73F43"/>
    <w:rsid w:val="00B759F1"/>
    <w:rsid w:val="00B84CB3"/>
    <w:rsid w:val="00B93EAE"/>
    <w:rsid w:val="00BA6B66"/>
    <w:rsid w:val="00BA6E48"/>
    <w:rsid w:val="00BB6B90"/>
    <w:rsid w:val="00BE0AF6"/>
    <w:rsid w:val="00BE1F03"/>
    <w:rsid w:val="00BE58A7"/>
    <w:rsid w:val="00BF2218"/>
    <w:rsid w:val="00BF359A"/>
    <w:rsid w:val="00C0426B"/>
    <w:rsid w:val="00C045DF"/>
    <w:rsid w:val="00C26D43"/>
    <w:rsid w:val="00C31FDD"/>
    <w:rsid w:val="00C3224D"/>
    <w:rsid w:val="00C46362"/>
    <w:rsid w:val="00C46548"/>
    <w:rsid w:val="00C503C5"/>
    <w:rsid w:val="00C574D5"/>
    <w:rsid w:val="00C60100"/>
    <w:rsid w:val="00C604E7"/>
    <w:rsid w:val="00C73F32"/>
    <w:rsid w:val="00C75B53"/>
    <w:rsid w:val="00C81825"/>
    <w:rsid w:val="00C84448"/>
    <w:rsid w:val="00C87462"/>
    <w:rsid w:val="00C95E0B"/>
    <w:rsid w:val="00CA180C"/>
    <w:rsid w:val="00CA18DD"/>
    <w:rsid w:val="00CA3E2A"/>
    <w:rsid w:val="00CB22B2"/>
    <w:rsid w:val="00CC3EE2"/>
    <w:rsid w:val="00CC5380"/>
    <w:rsid w:val="00CD7492"/>
    <w:rsid w:val="00CE3A6B"/>
    <w:rsid w:val="00D00211"/>
    <w:rsid w:val="00D06309"/>
    <w:rsid w:val="00D12A91"/>
    <w:rsid w:val="00D1584D"/>
    <w:rsid w:val="00D351EA"/>
    <w:rsid w:val="00D40288"/>
    <w:rsid w:val="00D43403"/>
    <w:rsid w:val="00D5270B"/>
    <w:rsid w:val="00D61175"/>
    <w:rsid w:val="00D62E71"/>
    <w:rsid w:val="00D6430D"/>
    <w:rsid w:val="00D66188"/>
    <w:rsid w:val="00D66496"/>
    <w:rsid w:val="00D731F6"/>
    <w:rsid w:val="00D740CA"/>
    <w:rsid w:val="00D85728"/>
    <w:rsid w:val="00D87C5A"/>
    <w:rsid w:val="00D95481"/>
    <w:rsid w:val="00DB6502"/>
    <w:rsid w:val="00DC7A13"/>
    <w:rsid w:val="00DD1D5A"/>
    <w:rsid w:val="00DD3822"/>
    <w:rsid w:val="00DE1789"/>
    <w:rsid w:val="00DE18D5"/>
    <w:rsid w:val="00DF2997"/>
    <w:rsid w:val="00DF4781"/>
    <w:rsid w:val="00DF51DA"/>
    <w:rsid w:val="00E10BC4"/>
    <w:rsid w:val="00E1415D"/>
    <w:rsid w:val="00E323E9"/>
    <w:rsid w:val="00E34018"/>
    <w:rsid w:val="00E437D2"/>
    <w:rsid w:val="00E54903"/>
    <w:rsid w:val="00E55751"/>
    <w:rsid w:val="00E635CE"/>
    <w:rsid w:val="00E64A4C"/>
    <w:rsid w:val="00EA2311"/>
    <w:rsid w:val="00EC7BC3"/>
    <w:rsid w:val="00ED7600"/>
    <w:rsid w:val="00EE57DF"/>
    <w:rsid w:val="00EF6073"/>
    <w:rsid w:val="00EF698B"/>
    <w:rsid w:val="00EF704A"/>
    <w:rsid w:val="00F07F44"/>
    <w:rsid w:val="00F1362C"/>
    <w:rsid w:val="00F414F1"/>
    <w:rsid w:val="00F5011A"/>
    <w:rsid w:val="00F508B8"/>
    <w:rsid w:val="00F53D08"/>
    <w:rsid w:val="00F62E58"/>
    <w:rsid w:val="00F722AD"/>
    <w:rsid w:val="00F72CB1"/>
    <w:rsid w:val="00F8215E"/>
    <w:rsid w:val="00F824F5"/>
    <w:rsid w:val="00F9374D"/>
    <w:rsid w:val="00FC29B9"/>
    <w:rsid w:val="00FC43D2"/>
    <w:rsid w:val="00FC6FD3"/>
    <w:rsid w:val="00FE0A66"/>
    <w:rsid w:val="00FE305C"/>
    <w:rsid w:val="00FF0301"/>
    <w:rsid w:val="00FF1F07"/>
    <w:rsid w:val="00FF699F"/>
    <w:rsid w:val="0299C35C"/>
    <w:rsid w:val="07738D73"/>
    <w:rsid w:val="198EAF7A"/>
    <w:rsid w:val="1F34CDAD"/>
    <w:rsid w:val="20D09E0E"/>
    <w:rsid w:val="21B5F15F"/>
    <w:rsid w:val="25EF1A7D"/>
    <w:rsid w:val="279AF525"/>
    <w:rsid w:val="38F9C143"/>
    <w:rsid w:val="4885D51A"/>
    <w:rsid w:val="493A84AF"/>
    <w:rsid w:val="51B7F42C"/>
    <w:rsid w:val="549DC582"/>
    <w:rsid w:val="5DA3DFAC"/>
    <w:rsid w:val="6727A2AD"/>
    <w:rsid w:val="68DCA464"/>
    <w:rsid w:val="6EBCB41C"/>
    <w:rsid w:val="726F696D"/>
    <w:rsid w:val="7739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1F6DDC"/>
  <w15:chartTrackingRefBased/>
  <w15:docId w15:val="{454467C9-30BF-41D2-B703-4D14B649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dobe Hebrew" w:hAnsi="Adobe Hebrew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maintextChar">
    <w:name w:val="main text Char"/>
    <w:link w:val="maintext"/>
    <w:qFormat/>
    <w:locked/>
    <w:rsid w:val="00E635CE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E635CE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lang w:eastAsia="ko-KR"/>
    </w:rPr>
  </w:style>
  <w:style w:type="paragraph" w:styleId="Header">
    <w:name w:val="header"/>
    <w:basedOn w:val="Normal"/>
    <w:link w:val="HeaderChar"/>
    <w:uiPriority w:val="99"/>
    <w:semiHidden/>
    <w:unhideWhenUsed/>
    <w:rsid w:val="002732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7322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2732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3221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keskita\Downloads\3GPP_Paper_Template_RAN4_%23106%20-%20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5AIRPNAIUNRU-1328258698-19386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https://nokia.sharepoint.com/sites/c5g/5gradio/_layouts/15/DocIdRedir.aspx?ID=5AIRPNAIUNRU-1328258698-19386</Url>
      <Description>5AIRPNAIUNRU-1328258698-19386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3GPP_Paper_Template_RAN4_#106 - Dimitri</Template>
  <TotalTime>2</TotalTime>
  <Pages>3</Pages>
  <Words>1057</Words>
  <Characters>6027</Characters>
  <Application>Microsoft Office Word</Application>
  <DocSecurity>0</DocSecurity>
  <Lines>50</Lines>
  <Paragraphs>14</Paragraphs>
  <ScaleCrop>false</ScaleCrop>
  <Company/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Ilkka Keskitalo (Nokia)</dc:creator>
  <cp:keywords>3GPP;RAN4</cp:keywords>
  <dc:description/>
  <cp:lastModifiedBy>Dimitri Gold (Nokia)</cp:lastModifiedBy>
  <cp:revision>3</cp:revision>
  <dcterms:created xsi:type="dcterms:W3CDTF">2023-02-17T17:17:00Z</dcterms:created>
  <dcterms:modified xsi:type="dcterms:W3CDTF">2023-02-17T17:19:00Z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f4c4c6c4-3a0a-4053-adc4-6fee7bfb3192</vt:lpwstr>
  </property>
  <property fmtid="{D5CDD505-2E9C-101B-9397-08002B2CF9AE}" pid="11" name="MediaServiceImageTags">
    <vt:lpwstr/>
  </property>
</Properties>
</file>